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90B" w:rsidRDefault="001E500D">
      <w:pPr>
        <w:pStyle w:val="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ind w:firstLine="0"/>
        <w:jc w:val="right"/>
      </w:pPr>
      <w:r>
        <w:rPr>
          <w:rFonts w:ascii="Times New Roman" w:eastAsia="Times New Roman" w:hAnsi="Times New Roman" w:cs="Times New Roman"/>
          <w:b w:val="0"/>
          <w:color w:val="000000"/>
          <w:sz w:val="28"/>
        </w:rPr>
        <w:t>ПРОЕКТ</w:t>
      </w:r>
    </w:p>
    <w:p w:rsidR="00B6590B" w:rsidRDefault="00B6590B">
      <w:pPr>
        <w:pStyle w:val="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ind w:firstLine="0"/>
        <w:rPr>
          <w:b w:val="0"/>
        </w:rPr>
      </w:pPr>
    </w:p>
    <w:p w:rsidR="00B6590B" w:rsidRDefault="001E500D">
      <w:pPr>
        <w:pStyle w:val="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ind w:firstLine="0"/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color w:val="000000"/>
          <w:sz w:val="28"/>
        </w:rPr>
        <w:t>ПАСПОРТ</w:t>
      </w:r>
    </w:p>
    <w:p w:rsidR="00B6590B" w:rsidRDefault="001E500D">
      <w:pPr>
        <w:pStyle w:val="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ind w:firstLine="0"/>
        <w:rPr>
          <w:b w:val="0"/>
        </w:rPr>
      </w:pPr>
      <w:r>
        <w:rPr>
          <w:rFonts w:ascii="Times New Roman" w:eastAsia="Times New Roman" w:hAnsi="Times New Roman" w:cs="Times New Roman"/>
          <w:b w:val="0"/>
          <w:color w:val="000000"/>
          <w:sz w:val="28"/>
        </w:rPr>
        <w:t xml:space="preserve">государственной программы </w:t>
      </w:r>
    </w:p>
    <w:p w:rsidR="00B6590B" w:rsidRDefault="001E500D">
      <w:pPr>
        <w:pStyle w:val="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ind w:firstLine="0"/>
        <w:rPr>
          <w:b w:val="0"/>
        </w:rPr>
      </w:pPr>
      <w:r>
        <w:rPr>
          <w:rFonts w:ascii="Times New Roman" w:eastAsia="Times New Roman" w:hAnsi="Times New Roman" w:cs="Times New Roman"/>
          <w:b w:val="0"/>
          <w:color w:val="000000"/>
          <w:sz w:val="28"/>
        </w:rPr>
        <w:t xml:space="preserve">«Стимулирование развития жилищного строительства </w:t>
      </w:r>
    </w:p>
    <w:p w:rsidR="00B6590B" w:rsidRDefault="001E500D">
      <w:pPr>
        <w:pStyle w:val="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ind w:firstLine="0"/>
        <w:rPr>
          <w:b w:val="0"/>
        </w:rPr>
      </w:pPr>
      <w:r>
        <w:rPr>
          <w:rFonts w:ascii="Times New Roman" w:eastAsia="Times New Roman" w:hAnsi="Times New Roman" w:cs="Times New Roman"/>
          <w:b w:val="0"/>
          <w:color w:val="000000"/>
          <w:sz w:val="28"/>
        </w:rPr>
        <w:t>в Оренбургской области»</w:t>
      </w:r>
    </w:p>
    <w:p w:rsidR="00B6590B" w:rsidRDefault="00B6590B"/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5953"/>
      </w:tblGrid>
      <w:tr w:rsidR="00B6590B"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0B" w:rsidRDefault="001E500D">
            <w:pPr>
              <w:pStyle w:val="afb"/>
              <w:ind w:right="9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государственной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</w:tr>
      <w:tr w:rsidR="00B6590B"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0B" w:rsidRDefault="001E500D">
            <w:pPr>
              <w:pStyle w:val="afb"/>
              <w:ind w:right="9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 реализации государственной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0B" w:rsidRDefault="001E500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57" w:lineRule="atLeast"/>
              <w:ind w:right="907" w:firstLine="0"/>
            </w:pPr>
            <w:r>
              <w:rPr>
                <w:sz w:val="28"/>
                <w:szCs w:val="28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>
              <w:rPr>
                <w:sz w:val="28"/>
                <w:szCs w:val="28"/>
              </w:rPr>
              <w:t>2030 годы</w:t>
            </w:r>
          </w:p>
        </w:tc>
      </w:tr>
      <w:tr w:rsidR="00B6590B"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0B" w:rsidRDefault="001E500D">
            <w:pPr>
              <w:pStyle w:val="afb"/>
              <w:ind w:right="9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государственной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доступности и комфортности жилья, качества жилищного обеспечения населения</w:t>
            </w:r>
          </w:p>
        </w:tc>
      </w:tr>
      <w:tr w:rsidR="00B6590B">
        <w:trPr>
          <w:trHeight w:val="276"/>
        </w:trPr>
        <w:tc>
          <w:tcPr>
            <w:tcW w:w="3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0B" w:rsidRDefault="001E500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right="907" w:firstLine="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Направления</w:t>
            </w:r>
          </w:p>
          <w:p w:rsidR="00B6590B" w:rsidRDefault="001E500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right="907" w:firstLine="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(подпрограммы)</w:t>
            </w:r>
          </w:p>
        </w:tc>
        <w:tc>
          <w:tcPr>
            <w:tcW w:w="5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0B" w:rsidRDefault="001E500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right="142" w:firstLine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</w:p>
        </w:tc>
      </w:tr>
      <w:tr w:rsidR="00B6590B"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0B" w:rsidRDefault="001E500D">
            <w:pPr>
              <w:pStyle w:val="afb"/>
              <w:ind w:right="907"/>
              <w:rPr>
                <w:sz w:val="28"/>
                <w:szCs w:val="28"/>
              </w:rPr>
            </w:pPr>
            <w:bookmarkStart w:id="0" w:name="sub_115"/>
            <w:r>
              <w:rPr>
                <w:sz w:val="28"/>
                <w:szCs w:val="28"/>
              </w:rPr>
              <w:t>Показатели государственной программы</w:t>
            </w:r>
            <w:bookmarkEnd w:id="0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жилищного строительства;</w:t>
            </w:r>
          </w:p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жилищного фонда, обновленного после 2019 года;</w:t>
            </w:r>
          </w:p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площадь жилых помещений, приходящаяся в среднем на одного жителя;</w:t>
            </w:r>
          </w:p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граждан, переселенных из непригодного для проживания жилищного фонда (нарастающим итогом с 2019 года);</w:t>
            </w:r>
          </w:p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 жилья в рамках мероприятия по стимулированию программ развития жи</w:t>
            </w:r>
            <w:r>
              <w:rPr>
                <w:sz w:val="28"/>
                <w:szCs w:val="28"/>
              </w:rPr>
              <w:t>лищного строительства субъектов Российской Федерации;</w:t>
            </w:r>
          </w:p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квадратных метров расселенного непригодного для проживания жилищного фонда (нарастающим итогом);</w:t>
            </w:r>
          </w:p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граждан, расселенных из непригодного для проживания жилищного фонда (нарастающим ит</w:t>
            </w:r>
            <w:r>
              <w:rPr>
                <w:sz w:val="28"/>
                <w:szCs w:val="28"/>
              </w:rPr>
              <w:t>огом);</w:t>
            </w:r>
          </w:p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квадратных метров используемого арендного (наемного) жилищного фонда коммерческого использования;</w:t>
            </w:r>
          </w:p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граждан - участников долевого строительства МКД, расположенных на территории Оренбургской области и включенных в </w:t>
            </w:r>
            <w:r>
              <w:rPr>
                <w:sz w:val="28"/>
                <w:szCs w:val="28"/>
              </w:rPr>
              <w:t>единый реестр</w:t>
            </w:r>
            <w:r>
              <w:rPr>
                <w:sz w:val="28"/>
                <w:szCs w:val="28"/>
              </w:rPr>
              <w:t xml:space="preserve"> пр</w:t>
            </w:r>
            <w:r>
              <w:rPr>
                <w:sz w:val="28"/>
                <w:szCs w:val="28"/>
              </w:rPr>
              <w:t xml:space="preserve">облемных объектов, права которых восстановлены путем </w:t>
            </w:r>
            <w:r>
              <w:rPr>
                <w:sz w:val="28"/>
                <w:szCs w:val="28"/>
              </w:rPr>
              <w:lastRenderedPageBreak/>
              <w:t>погашения требований;</w:t>
            </w:r>
          </w:p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граждан - участников долевого строительства, права которых восстановятся после завершения строительства МКД, расположенных на территории Оренбургской области и включенных в </w:t>
            </w:r>
            <w:r>
              <w:rPr>
                <w:sz w:val="28"/>
                <w:szCs w:val="28"/>
              </w:rPr>
              <w:t>единый реестр</w:t>
            </w:r>
            <w:r>
              <w:rPr>
                <w:sz w:val="28"/>
                <w:szCs w:val="28"/>
              </w:rPr>
              <w:t xml:space="preserve"> проблемных объектов;</w:t>
            </w:r>
          </w:p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обеспеченности Оренбургской о</w:t>
            </w:r>
            <w:r>
              <w:rPr>
                <w:sz w:val="28"/>
                <w:szCs w:val="28"/>
              </w:rPr>
              <w:t>бласти разработанной (актуализированной) документацией в области градостроительной деятельности;</w:t>
            </w:r>
          </w:p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обеспеченности муниципальных образований Оренбургской области разработанными (актуализированными) документами в области градостроительной деятельности;</w:t>
            </w:r>
          </w:p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объектов капитального строительства, соответствующих требованиям, указанным в </w:t>
            </w:r>
            <w:r>
              <w:rPr>
                <w:sz w:val="28"/>
                <w:szCs w:val="28"/>
              </w:rPr>
              <w:t>части 16 статьи 54</w:t>
            </w:r>
            <w:r>
              <w:rPr>
                <w:sz w:val="28"/>
                <w:szCs w:val="28"/>
              </w:rPr>
              <w:t xml:space="preserve"> Градостроительного кодекса Российской Федерации;</w:t>
            </w:r>
          </w:p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проектных деклараций, соответствующих требованиям, установленным </w:t>
            </w:r>
            <w:r>
              <w:rPr>
                <w:sz w:val="28"/>
                <w:szCs w:val="28"/>
              </w:rPr>
              <w:t>Федеральным законом</w:t>
            </w:r>
            <w:r>
              <w:rPr>
                <w:sz w:val="28"/>
                <w:szCs w:val="28"/>
              </w:rPr>
              <w:t xml:space="preserve"> от 30.12.2004 </w:t>
            </w:r>
            <w:r>
              <w:rPr>
                <w:sz w:val="28"/>
                <w:szCs w:val="28"/>
              </w:rPr>
              <w:t xml:space="preserve">года </w:t>
            </w:r>
            <w:r>
              <w:rPr>
                <w:color w:val="000000"/>
                <w:sz w:val="28"/>
                <w:szCs w:val="28"/>
              </w:rPr>
              <w:t>№ </w:t>
            </w:r>
            <w:r>
              <w:rPr>
                <w:sz w:val="28"/>
                <w:szCs w:val="28"/>
              </w:rPr>
              <w:t xml:space="preserve">214-ФЗ </w:t>
            </w:r>
            <w:r>
              <w:rPr>
                <w:color w:val="000000"/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      </w:r>
            <w:r>
              <w:rPr>
                <w:color w:val="000000"/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и принятыми в соответствии с ним иными нормативными правовыми актами Российск</w:t>
            </w:r>
            <w:r>
              <w:rPr>
                <w:sz w:val="28"/>
                <w:szCs w:val="28"/>
              </w:rPr>
              <w:t>ой Федерации;</w:t>
            </w:r>
          </w:p>
          <w:p w:rsidR="00B6590B" w:rsidRDefault="001E500D">
            <w:pPr>
              <w:pStyle w:val="afb"/>
              <w:ind w:right="1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доля контрольных (надзорных) мероприятий без взаимодействия, по результатам которых выявлены нарушения обязательных требований и приняты решения, предусмотренные частью 3 статьи 74 Федерального закона от 31.07.2020 № 248-ФЗ «О государственном</w:t>
            </w:r>
            <w:r>
              <w:rPr>
                <w:color w:val="000000"/>
                <w:sz w:val="28"/>
                <w:szCs w:val="28"/>
              </w:rPr>
              <w:t xml:space="preserve"> контроле (надзоре) и муниципальном контроле в Российской Федерации» от общего числа контрольных (надзорных) мероприятий без взаимодействия, по которым выявлены нарушения, проведенных за отчетный период;</w:t>
            </w:r>
          </w:p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расселенной площади в общей площади аварийного </w:t>
            </w:r>
            <w:r>
              <w:rPr>
                <w:sz w:val="28"/>
                <w:szCs w:val="28"/>
              </w:rPr>
              <w:t>жилого фонда, признанного таковым после 1 января 2012 года (нарастающим итогом);</w:t>
            </w:r>
          </w:p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доля аварийного жилищного фонда, внесенного в цифровой реестр аварийного жилья;</w:t>
            </w:r>
          </w:p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семей отдельных категорий граждан Российской Федерации, обеспеченных жильем;</w:t>
            </w:r>
          </w:p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</w:t>
            </w:r>
            <w:r>
              <w:rPr>
                <w:sz w:val="28"/>
                <w:szCs w:val="28"/>
              </w:rPr>
              <w:t>тво молодых семей, улучшивших жилищные условия</w:t>
            </w:r>
          </w:p>
        </w:tc>
        <w:bookmarkStart w:id="1" w:name="_GoBack"/>
        <w:bookmarkEnd w:id="1"/>
      </w:tr>
      <w:tr w:rsidR="00B6590B"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0B" w:rsidRDefault="001E500D">
            <w:pPr>
              <w:pStyle w:val="afb"/>
              <w:ind w:right="907"/>
              <w:rPr>
                <w:sz w:val="28"/>
                <w:szCs w:val="28"/>
              </w:rPr>
            </w:pPr>
            <w:bookmarkStart w:id="2" w:name="sub_116"/>
            <w:r>
              <w:rPr>
                <w:sz w:val="28"/>
                <w:szCs w:val="28"/>
              </w:rPr>
              <w:lastRenderedPageBreak/>
              <w:t>Объем бюджетных ассигнований государственной программы, в том числе по годам реализации</w:t>
            </w:r>
            <w:bookmarkEnd w:id="2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0B" w:rsidRDefault="001E500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57" w:lineRule="atLeast"/>
              <w:ind w:right="907" w:firstLine="0"/>
            </w:pPr>
            <w:r>
              <w:rPr>
                <w:sz w:val="28"/>
                <w:szCs w:val="28"/>
              </w:rPr>
              <w:t xml:space="preserve">17 112 807,0 тыс. рублей,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том числе по годам реализации:</w:t>
            </w:r>
          </w:p>
          <w:p w:rsidR="00B6590B" w:rsidRDefault="001E500D">
            <w:pPr>
              <w:pStyle w:val="afb"/>
              <w:ind w:right="907"/>
              <w:rPr>
                <w:sz w:val="28"/>
                <w:szCs w:val="28"/>
              </w:rPr>
            </w:pPr>
            <w:bookmarkStart w:id="3" w:name="sub_162"/>
            <w:r>
              <w:rPr>
                <w:sz w:val="28"/>
                <w:szCs w:val="28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>
              <w:rPr>
                <w:sz w:val="28"/>
                <w:szCs w:val="28"/>
              </w:rPr>
              <w:t xml:space="preserve"> 3 341 482,1 тыс. рублей;</w:t>
            </w:r>
            <w:bookmarkEnd w:id="3"/>
          </w:p>
          <w:p w:rsidR="00B6590B" w:rsidRDefault="001E500D">
            <w:pPr>
              <w:pStyle w:val="afb"/>
              <w:ind w:right="9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>
              <w:rPr>
                <w:sz w:val="28"/>
                <w:szCs w:val="28"/>
              </w:rPr>
              <w:t xml:space="preserve"> 5 323 964,5 тыс. рублей;</w:t>
            </w:r>
          </w:p>
          <w:p w:rsidR="00B6590B" w:rsidRDefault="001E500D">
            <w:pPr>
              <w:pStyle w:val="afb"/>
              <w:ind w:right="9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>
              <w:rPr>
                <w:sz w:val="28"/>
                <w:szCs w:val="28"/>
              </w:rPr>
              <w:t xml:space="preserve"> 3 635 733,6 тыс. рублей;</w:t>
            </w:r>
          </w:p>
          <w:p w:rsidR="00B6590B" w:rsidRDefault="001E500D">
            <w:pPr>
              <w:pStyle w:val="afb"/>
              <w:ind w:right="9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>
              <w:rPr>
                <w:sz w:val="28"/>
                <w:szCs w:val="28"/>
              </w:rPr>
              <w:t xml:space="preserve"> 1 218 753,1 тыс. рублей;</w:t>
            </w:r>
          </w:p>
          <w:p w:rsidR="00B6590B" w:rsidRDefault="001E500D">
            <w:pPr>
              <w:pStyle w:val="afb"/>
              <w:ind w:right="9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– </w:t>
            </w:r>
            <w:r>
              <w:rPr>
                <w:sz w:val="28"/>
                <w:szCs w:val="28"/>
              </w:rPr>
              <w:t>1 054 369,6 тыс. рублей;</w:t>
            </w:r>
          </w:p>
          <w:p w:rsidR="00B6590B" w:rsidRDefault="001E500D">
            <w:pPr>
              <w:pStyle w:val="afb"/>
              <w:ind w:right="9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год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>
              <w:rPr>
                <w:sz w:val="28"/>
                <w:szCs w:val="28"/>
              </w:rPr>
              <w:t xml:space="preserve"> 827 623,0 тыс. рублей;</w:t>
            </w:r>
          </w:p>
          <w:p w:rsidR="00B6590B" w:rsidRDefault="001E500D">
            <w:pPr>
              <w:pStyle w:val="afb"/>
              <w:ind w:right="9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2029 год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>
              <w:rPr>
                <w:sz w:val="28"/>
                <w:szCs w:val="28"/>
              </w:rPr>
              <w:t xml:space="preserve"> 848 714,2 тыс. рублей;</w:t>
            </w:r>
          </w:p>
          <w:p w:rsidR="00B6590B" w:rsidRDefault="001E500D">
            <w:pPr>
              <w:pStyle w:val="afb"/>
              <w:ind w:right="9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2030 год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>
              <w:rPr>
                <w:sz w:val="28"/>
                <w:szCs w:val="28"/>
              </w:rPr>
              <w:t xml:space="preserve"> 862 166,9 тыс. рублей</w:t>
            </w:r>
          </w:p>
        </w:tc>
      </w:tr>
      <w:tr w:rsidR="00B6590B"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0B" w:rsidRDefault="001E500D">
            <w:pPr>
              <w:pStyle w:val="afb"/>
              <w:ind w:right="9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комфортная и безопасная среда для жизни/обеспечение граждан жильем общей площадью не менее 33 кв. метров на человека к 2030 году и не менее 38 кв. метров к 2036 году;</w:t>
            </w:r>
          </w:p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обновление к 2030 </w:t>
            </w:r>
            <w:r>
              <w:rPr>
                <w:sz w:val="28"/>
                <w:szCs w:val="28"/>
              </w:rPr>
              <w:t>году жилищного фонда не менее чем на 20 процентов по сравнению с показателем 2019 года;</w:t>
            </w:r>
          </w:p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устойчивое сокращение непригодного для проживания жилищного фонда</w:t>
            </w:r>
          </w:p>
        </w:tc>
      </w:tr>
      <w:tr w:rsidR="00B6590B"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0B" w:rsidRDefault="001E500D">
            <w:pPr>
              <w:pStyle w:val="afb"/>
              <w:ind w:right="9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Связь с иными государственными программами Оренбургской области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0B" w:rsidRDefault="001E500D">
            <w:pPr>
              <w:pStyle w:val="afb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программа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Социальная поддержка граждан в Оренбургской области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>(до 31 декабря 2024 года)</w:t>
            </w:r>
          </w:p>
        </w:tc>
      </w:tr>
    </w:tbl>
    <w:p w:rsidR="00B6590B" w:rsidRDefault="00B6590B"/>
    <w:sectPr w:rsidR="00B6590B" w:rsidSect="001E500D">
      <w:headerReference w:type="default" r:id="rId7"/>
      <w:pgSz w:w="11900" w:h="16800"/>
      <w:pgMar w:top="1134" w:right="850" w:bottom="1134" w:left="170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90B" w:rsidRDefault="001E500D">
      <w:pPr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separator/>
      </w:r>
    </w:p>
  </w:endnote>
  <w:endnote w:type="continuationSeparator" w:id="0">
    <w:p w:rsidR="00B6590B" w:rsidRDefault="001E500D">
      <w:pPr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CYR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90B" w:rsidRDefault="001E500D">
      <w:pPr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separator/>
      </w:r>
    </w:p>
  </w:footnote>
  <w:footnote w:type="continuationSeparator" w:id="0">
    <w:p w:rsidR="00B6590B" w:rsidRDefault="001E500D">
      <w:pPr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00D" w:rsidRDefault="001E500D">
    <w:pPr>
      <w:pStyle w:val="afd"/>
      <w:rPr>
        <w:sz w:val="28"/>
        <w:szCs w:val="28"/>
      </w:rPr>
    </w:pPr>
    <w:r w:rsidRPr="001E500D">
      <w:rPr>
        <w:sz w:val="28"/>
        <w:szCs w:val="28"/>
      </w:rPr>
      <w:fldChar w:fldCharType="begin"/>
    </w:r>
    <w:r w:rsidRPr="001E500D">
      <w:rPr>
        <w:sz w:val="28"/>
        <w:szCs w:val="28"/>
      </w:rPr>
      <w:instrText>PAGE   \* MERGEFORMAT</w:instrText>
    </w:r>
    <w:r w:rsidRPr="001E500D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1E500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63C6F"/>
    <w:multiLevelType w:val="hybridMultilevel"/>
    <w:tmpl w:val="4F76C776"/>
    <w:lvl w:ilvl="0" w:tplc="A98CDD18">
      <w:start w:val="1"/>
      <w:numFmt w:val="bullet"/>
      <w:lvlText w:val="·"/>
      <w:lvlJc w:val="left"/>
      <w:pPr>
        <w:ind w:hanging="360"/>
      </w:pPr>
    </w:lvl>
    <w:lvl w:ilvl="1" w:tplc="90882790">
      <w:start w:val="1"/>
      <w:numFmt w:val="bullet"/>
      <w:lvlText w:val="o"/>
      <w:lvlJc w:val="left"/>
      <w:pPr>
        <w:ind w:hanging="360"/>
      </w:pPr>
    </w:lvl>
    <w:lvl w:ilvl="2" w:tplc="476203CE">
      <w:start w:val="1"/>
      <w:numFmt w:val="bullet"/>
      <w:lvlText w:val="§"/>
      <w:lvlJc w:val="left"/>
      <w:pPr>
        <w:ind w:hanging="360"/>
      </w:pPr>
    </w:lvl>
    <w:lvl w:ilvl="3" w:tplc="76C60E10">
      <w:start w:val="1"/>
      <w:numFmt w:val="bullet"/>
      <w:lvlText w:val="·"/>
      <w:lvlJc w:val="left"/>
      <w:pPr>
        <w:ind w:hanging="360"/>
      </w:pPr>
    </w:lvl>
    <w:lvl w:ilvl="4" w:tplc="E590724A">
      <w:start w:val="1"/>
      <w:numFmt w:val="bullet"/>
      <w:lvlText w:val="o"/>
      <w:lvlJc w:val="left"/>
      <w:pPr>
        <w:ind w:hanging="360"/>
      </w:pPr>
    </w:lvl>
    <w:lvl w:ilvl="5" w:tplc="FAC4D7FC">
      <w:start w:val="1"/>
      <w:numFmt w:val="bullet"/>
      <w:lvlText w:val="§"/>
      <w:lvlJc w:val="left"/>
      <w:pPr>
        <w:ind w:hanging="360"/>
      </w:pPr>
    </w:lvl>
    <w:lvl w:ilvl="6" w:tplc="7BA609C2">
      <w:start w:val="1"/>
      <w:numFmt w:val="bullet"/>
      <w:lvlText w:val="·"/>
      <w:lvlJc w:val="left"/>
      <w:pPr>
        <w:ind w:hanging="360"/>
      </w:pPr>
    </w:lvl>
    <w:lvl w:ilvl="7" w:tplc="91AA994C">
      <w:start w:val="1"/>
      <w:numFmt w:val="bullet"/>
      <w:lvlText w:val="o"/>
      <w:lvlJc w:val="left"/>
      <w:pPr>
        <w:ind w:hanging="360"/>
      </w:pPr>
    </w:lvl>
    <w:lvl w:ilvl="8" w:tplc="89701234">
      <w:start w:val="1"/>
      <w:numFmt w:val="bullet"/>
      <w:lvlText w:val="§"/>
      <w:lvlJc w:val="left"/>
      <w:pPr>
        <w:ind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590B"/>
    <w:rsid w:val="001E500D"/>
    <w:rsid w:val="00B6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9FE11"/>
  <w15:docId w15:val="{7D3FAEFB-3497-4414-9E17-8FE1FDF2E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720"/>
      <w:jc w:val="both"/>
    </w:pPr>
    <w:rPr>
      <w:rFonts w:ascii="TimesNewRomanCYR" w:eastAsia="TimesNewRomanCYR" w:hAnsi="TimesNewRomanCYR" w:cs="TimesNewRomanCYR"/>
      <w:sz w:val="24"/>
    </w:rPr>
  </w:style>
  <w:style w:type="paragraph" w:styleId="1">
    <w:name w:val="heading 1"/>
    <w:basedOn w:val="a"/>
    <w:pPr>
      <w:spacing w:before="108" w:after="108"/>
      <w:jc w:val="center"/>
      <w:outlineLvl w:val="0"/>
    </w:pPr>
    <w:rPr>
      <w:b/>
      <w:color w:val="26282F"/>
    </w:rPr>
  </w:style>
  <w:style w:type="paragraph" w:styleId="2">
    <w:name w:val="heading 2"/>
    <w:basedOn w:val="a"/>
    <w:unhideWhenUsed/>
    <w:qFormat/>
    <w:pPr>
      <w:keepNext/>
      <w:keepLines/>
      <w:spacing w:before="360" w:after="200"/>
      <w:jc w:val="left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nhideWhenUsed/>
    <w:qFormat/>
    <w:pPr>
      <w:keepNext/>
      <w:keepLines/>
      <w:spacing w:before="320" w:after="200"/>
      <w:jc w:val="left"/>
      <w:outlineLvl w:val="2"/>
    </w:pPr>
    <w:rPr>
      <w:rFonts w:ascii="Arial" w:eastAsia="Arial" w:hAnsi="Arial" w:cs="Arial"/>
      <w:sz w:val="30"/>
    </w:rPr>
  </w:style>
  <w:style w:type="paragraph" w:styleId="4">
    <w:name w:val="heading 4"/>
    <w:basedOn w:val="a"/>
    <w:unhideWhenUsed/>
    <w:qFormat/>
    <w:pPr>
      <w:keepNext/>
      <w:keepLines/>
      <w:spacing w:before="320" w:after="200"/>
      <w:jc w:val="left"/>
      <w:outlineLvl w:val="3"/>
    </w:pPr>
    <w:rPr>
      <w:rFonts w:ascii="Arial" w:eastAsia="Arial" w:hAnsi="Arial" w:cs="Arial"/>
      <w:b/>
      <w:sz w:val="26"/>
    </w:rPr>
  </w:style>
  <w:style w:type="paragraph" w:styleId="5">
    <w:name w:val="heading 5"/>
    <w:basedOn w:val="a"/>
    <w:unhideWhenUsed/>
    <w:qFormat/>
    <w:pPr>
      <w:keepNext/>
      <w:keepLines/>
      <w:spacing w:before="320" w:after="200"/>
      <w:jc w:val="left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a"/>
    <w:unhideWhenUsed/>
    <w:qFormat/>
    <w:pPr>
      <w:keepNext/>
      <w:keepLines/>
      <w:spacing w:before="320" w:after="200"/>
      <w:jc w:val="left"/>
      <w:outlineLvl w:val="5"/>
    </w:pPr>
    <w:rPr>
      <w:rFonts w:ascii="Arial" w:eastAsia="Arial" w:hAnsi="Arial" w:cs="Arial"/>
      <w:b/>
      <w:sz w:val="22"/>
    </w:rPr>
  </w:style>
  <w:style w:type="paragraph" w:styleId="7">
    <w:name w:val="heading 7"/>
    <w:basedOn w:val="a"/>
    <w:unhideWhenUsed/>
    <w:qFormat/>
    <w:pPr>
      <w:keepNext/>
      <w:keepLines/>
      <w:spacing w:before="320" w:after="200"/>
      <w:jc w:val="left"/>
      <w:outlineLvl w:val="6"/>
    </w:pPr>
    <w:rPr>
      <w:rFonts w:ascii="Arial" w:eastAsia="Arial" w:hAnsi="Arial" w:cs="Arial"/>
      <w:b/>
      <w:i/>
      <w:sz w:val="22"/>
    </w:rPr>
  </w:style>
  <w:style w:type="paragraph" w:styleId="8">
    <w:name w:val="heading 8"/>
    <w:basedOn w:val="a"/>
    <w:unhideWhenUsed/>
    <w:qFormat/>
    <w:pPr>
      <w:keepNext/>
      <w:keepLines/>
      <w:spacing w:before="320" w:after="200"/>
      <w:jc w:val="left"/>
      <w:outlineLvl w:val="7"/>
    </w:pPr>
    <w:rPr>
      <w:rFonts w:ascii="Arial" w:eastAsia="Arial" w:hAnsi="Arial" w:cs="Arial"/>
      <w:i/>
      <w:sz w:val="22"/>
    </w:rPr>
  </w:style>
  <w:style w:type="paragraph" w:styleId="9">
    <w:name w:val="heading 9"/>
    <w:basedOn w:val="a"/>
    <w:unhideWhenUsed/>
    <w:qFormat/>
    <w:pPr>
      <w:keepNext/>
      <w:keepLines/>
      <w:spacing w:before="320" w:after="200"/>
      <w:jc w:val="left"/>
      <w:outlineLvl w:val="8"/>
    </w:pPr>
    <w:rPr>
      <w:rFonts w:ascii="Arial" w:eastAsia="Arial" w:hAnsi="Arial" w:cs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rPr>
      <w:rFonts w:ascii="Arial" w:eastAsia="Arial" w:hAnsi="Arial" w:cs="Arial"/>
      <w:sz w:val="40"/>
    </w:rPr>
  </w:style>
  <w:style w:type="character" w:customStyle="1" w:styleId="Heading2Char">
    <w:name w:val="Heading 2 Char"/>
    <w:rPr>
      <w:rFonts w:ascii="Arial" w:eastAsia="Arial" w:hAnsi="Arial" w:cs="Arial"/>
      <w:sz w:val="34"/>
    </w:rPr>
  </w:style>
  <w:style w:type="character" w:customStyle="1" w:styleId="Heading3Char">
    <w:name w:val="Heading 3 Char"/>
    <w:rPr>
      <w:rFonts w:ascii="Arial" w:eastAsia="Arial" w:hAnsi="Arial" w:cs="Arial"/>
      <w:sz w:val="30"/>
    </w:rPr>
  </w:style>
  <w:style w:type="character" w:customStyle="1" w:styleId="Heading4Char">
    <w:name w:val="Heading 4 Char"/>
    <w:rPr>
      <w:rFonts w:ascii="Arial" w:eastAsia="Arial" w:hAnsi="Arial" w:cs="Arial"/>
      <w:b/>
      <w:sz w:val="26"/>
    </w:rPr>
  </w:style>
  <w:style w:type="character" w:customStyle="1" w:styleId="Heading5Char">
    <w:name w:val="Heading 5 Char"/>
    <w:rPr>
      <w:rFonts w:ascii="Arial" w:eastAsia="Arial" w:hAnsi="Arial" w:cs="Arial"/>
      <w:b/>
      <w:sz w:val="24"/>
    </w:rPr>
  </w:style>
  <w:style w:type="character" w:customStyle="1" w:styleId="Heading6Char">
    <w:name w:val="Heading 6 Char"/>
    <w:rPr>
      <w:rFonts w:ascii="Arial" w:eastAsia="Arial" w:hAnsi="Arial" w:cs="Arial"/>
      <w:b/>
      <w:sz w:val="22"/>
    </w:rPr>
  </w:style>
  <w:style w:type="character" w:customStyle="1" w:styleId="Heading7Char">
    <w:name w:val="Heading 7 Char"/>
    <w:rPr>
      <w:rFonts w:ascii="Arial" w:eastAsia="Arial" w:hAnsi="Arial" w:cs="Arial"/>
      <w:b/>
      <w:i/>
      <w:sz w:val="22"/>
    </w:rPr>
  </w:style>
  <w:style w:type="character" w:customStyle="1" w:styleId="Heading8Char">
    <w:name w:val="Heading 8 Char"/>
    <w:rPr>
      <w:rFonts w:ascii="Arial" w:eastAsia="Arial" w:hAnsi="Arial" w:cs="Arial"/>
      <w:i/>
      <w:sz w:val="22"/>
    </w:rPr>
  </w:style>
  <w:style w:type="character" w:customStyle="1" w:styleId="Heading9Char">
    <w:name w:val="Heading 9 Char"/>
    <w:rPr>
      <w:rFonts w:ascii="Arial" w:eastAsia="Arial" w:hAnsi="Arial" w:cs="Arial"/>
      <w:i/>
      <w:sz w:val="21"/>
    </w:rPr>
  </w:style>
  <w:style w:type="paragraph" w:styleId="a3">
    <w:name w:val="List Paragraph"/>
    <w:basedOn w:val="a"/>
    <w:qFormat/>
    <w:pPr>
      <w:ind w:left="720"/>
      <w:contextualSpacing/>
      <w:jc w:val="left"/>
    </w:pPr>
    <w:rPr>
      <w:rFonts w:ascii="Arial" w:eastAsia="Arial" w:hAnsi="Arial" w:cs="Arial"/>
    </w:rPr>
  </w:style>
  <w:style w:type="paragraph" w:styleId="a4">
    <w:name w:val="No Spacing"/>
    <w:qFormat/>
    <w:rPr>
      <w:sz w:val="24"/>
    </w:rPr>
  </w:style>
  <w:style w:type="paragraph" w:styleId="a5">
    <w:name w:val="Title"/>
    <w:basedOn w:val="a"/>
    <w:qFormat/>
    <w:pPr>
      <w:spacing w:before="300" w:after="200"/>
      <w:contextualSpacing/>
      <w:jc w:val="left"/>
    </w:pPr>
    <w:rPr>
      <w:rFonts w:ascii="Arial" w:eastAsia="Arial" w:hAnsi="Arial" w:cs="Arial"/>
      <w:sz w:val="48"/>
    </w:rPr>
  </w:style>
  <w:style w:type="character" w:customStyle="1" w:styleId="TitleChar">
    <w:name w:val="Title Char"/>
    <w:rPr>
      <w:rFonts w:ascii="Arial" w:eastAsia="Arial" w:hAnsi="Arial" w:cs="Arial"/>
      <w:sz w:val="48"/>
    </w:rPr>
  </w:style>
  <w:style w:type="paragraph" w:styleId="a6">
    <w:name w:val="Subtitle"/>
    <w:basedOn w:val="a"/>
    <w:qFormat/>
    <w:pPr>
      <w:spacing w:before="200" w:after="200"/>
      <w:jc w:val="left"/>
    </w:pPr>
    <w:rPr>
      <w:rFonts w:ascii="Arial" w:eastAsia="Arial" w:hAnsi="Arial" w:cs="Arial"/>
    </w:rPr>
  </w:style>
  <w:style w:type="character" w:customStyle="1" w:styleId="SubtitleChar">
    <w:name w:val="Subtitle Char"/>
    <w:rPr>
      <w:rFonts w:ascii="Arial" w:eastAsia="Arial" w:hAnsi="Arial" w:cs="Arial"/>
      <w:sz w:val="24"/>
    </w:rPr>
  </w:style>
  <w:style w:type="paragraph" w:styleId="20">
    <w:name w:val="Quote"/>
    <w:basedOn w:val="a"/>
    <w:qFormat/>
    <w:pPr>
      <w:ind w:left="720"/>
      <w:jc w:val="left"/>
    </w:pPr>
    <w:rPr>
      <w:rFonts w:ascii="Arial" w:eastAsia="Arial" w:hAnsi="Arial" w:cs="Arial"/>
      <w:i/>
    </w:rPr>
  </w:style>
  <w:style w:type="character" w:customStyle="1" w:styleId="QuoteChar">
    <w:name w:val="Quote Char"/>
    <w:rPr>
      <w:rFonts w:ascii="Arial" w:eastAsia="Arial" w:hAnsi="Arial" w:cs="Arial"/>
      <w:i/>
      <w:sz w:val="24"/>
    </w:rPr>
  </w:style>
  <w:style w:type="paragraph" w:styleId="a7">
    <w:name w:val="Intense Quote"/>
    <w:basedOn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/>
      <w:jc w:val="left"/>
    </w:pPr>
    <w:rPr>
      <w:rFonts w:ascii="Arial" w:eastAsia="Arial" w:hAnsi="Arial" w:cs="Arial"/>
      <w:i/>
    </w:rPr>
  </w:style>
  <w:style w:type="character" w:customStyle="1" w:styleId="IntenseQuoteChar">
    <w:name w:val="Intense Quote Char"/>
    <w:rPr>
      <w:rFonts w:ascii="Arial" w:eastAsia="Arial" w:hAnsi="Arial" w:cs="Arial"/>
      <w:i/>
      <w:sz w:val="24"/>
    </w:rPr>
  </w:style>
  <w:style w:type="character" w:customStyle="1" w:styleId="HeaderChar">
    <w:name w:val="Header Char"/>
    <w:rPr>
      <w:rFonts w:ascii="Arial" w:eastAsia="Arial" w:hAnsi="Arial" w:cs="Arial"/>
      <w:sz w:val="24"/>
    </w:rPr>
  </w:style>
  <w:style w:type="character" w:customStyle="1" w:styleId="FooterChar">
    <w:name w:val="Footer Char"/>
    <w:rPr>
      <w:rFonts w:ascii="Arial" w:eastAsia="Arial" w:hAnsi="Arial" w:cs="Arial"/>
      <w:sz w:val="24"/>
    </w:rPr>
  </w:style>
  <w:style w:type="paragraph" w:styleId="a8">
    <w:name w:val="caption"/>
    <w:basedOn w:val="a"/>
    <w:link w:val="a9"/>
    <w:semiHidden/>
    <w:unhideWhenUsed/>
    <w:qFormat/>
    <w:pPr>
      <w:spacing w:line="276" w:lineRule="auto"/>
      <w:jc w:val="left"/>
    </w:pPr>
    <w:rPr>
      <w:rFonts w:ascii="Arial" w:eastAsia="Arial" w:hAnsi="Arial" w:cs="Arial"/>
      <w:b/>
      <w:color w:val="4F81BD"/>
      <w:sz w:val="18"/>
    </w:rPr>
  </w:style>
  <w:style w:type="character" w:customStyle="1" w:styleId="a9">
    <w:name w:val="Название объекта Знак"/>
    <w:link w:val="a8"/>
    <w:rPr>
      <w:rFonts w:ascii="Arial" w:eastAsia="Arial" w:hAnsi="Arial" w:cs="Arial"/>
      <w:b/>
      <w:color w:val="4F81BD"/>
      <w:sz w:val="18"/>
    </w:rPr>
  </w:style>
  <w:style w:type="table" w:styleId="aa">
    <w:name w:val="Table Grid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Plain Table 1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1">
    <w:name w:val="Plain Table 2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Plain Table 3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40">
    <w:name w:val="Plain Table 4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50">
    <w:name w:val="Plain Table 5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F2DCD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EAF0D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rPr>
      <w:sz w:val="24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rPr>
      <w:sz w:val="24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rPr>
      <w:sz w:val="24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rPr>
      <w:sz w:val="24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rPr>
      <w:sz w:val="24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rPr>
      <w:sz w:val="24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rPr>
      <w:sz w:val="24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rPr>
      <w:sz w:val="24"/>
    </w:rPr>
    <w:tblPr>
      <w:tblInd w:w="0" w:type="dxa"/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rPr>
      <w:sz w:val="24"/>
    </w:rPr>
    <w:tblPr>
      <w:tblInd w:w="0" w:type="dxa"/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rPr>
      <w:sz w:val="24"/>
    </w:rPr>
    <w:tblPr>
      <w:tblInd w:w="0" w:type="dxa"/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D99694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rPr>
      <w:sz w:val="24"/>
    </w:rPr>
    <w:tblPr>
      <w:tblInd w:w="0" w:type="dxa"/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rPr>
      <w:sz w:val="24"/>
    </w:rPr>
    <w:tblPr>
      <w:tblInd w:w="0" w:type="dxa"/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rPr>
      <w:sz w:val="24"/>
    </w:rPr>
    <w:tblPr>
      <w:tblInd w:w="0" w:type="dxa"/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91CD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rPr>
      <w:sz w:val="24"/>
    </w:rPr>
    <w:tblPr>
      <w:tblInd w:w="0" w:type="dxa"/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F9BF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rPr>
      <w:sz w:val="24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rPr>
      <w:sz w:val="24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rPr>
      <w:sz w:val="24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rPr>
      <w:sz w:val="24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rPr>
      <w:sz w:val="24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rPr>
      <w:sz w:val="24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rPr>
      <w:sz w:val="24"/>
    </w:rPr>
    <w:tblPr>
      <w:tblInd w:w="0" w:type="dxa"/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rPr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rPr>
      <w:color w:val="404040"/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rPr>
      <w:color w:val="404040"/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rPr>
      <w:color w:val="404040"/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rPr>
      <w:color w:val="404040"/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Pr>
      <w:color w:val="404040"/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Pr>
      <w:color w:val="404040"/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Pr>
      <w:color w:val="404040"/>
      <w:sz w:val="24"/>
    </w:rPr>
    <w:tblPr>
      <w:tblInd w:w="0" w:type="dxa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Pr>
      <w:color w:val="404040"/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Pr>
      <w:color w:val="404040"/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Pr>
      <w:color w:val="404040"/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rPr>
      <w:color w:val="404040"/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Pr>
      <w:color w:val="404040"/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Pr>
      <w:color w:val="404040"/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rPr>
      <w:color w:val="404040"/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rPr>
      <w:sz w:val="24"/>
    </w:rPr>
    <w:tblPr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Hyperlink"/>
    <w:unhideWhenUsed/>
    <w:rPr>
      <w:rFonts w:ascii="Arial" w:eastAsia="Arial" w:hAnsi="Arial" w:cs="Arial"/>
      <w:color w:val="0000FF"/>
      <w:sz w:val="24"/>
      <w:u w:val="single"/>
    </w:rPr>
  </w:style>
  <w:style w:type="paragraph" w:styleId="ac">
    <w:name w:val="footnote text"/>
    <w:basedOn w:val="a"/>
    <w:semiHidden/>
    <w:unhideWhenUsed/>
    <w:pPr>
      <w:spacing w:after="40"/>
      <w:jc w:val="left"/>
    </w:pPr>
    <w:rPr>
      <w:rFonts w:ascii="Arial" w:eastAsia="Arial" w:hAnsi="Arial" w:cs="Arial"/>
      <w:sz w:val="18"/>
    </w:rPr>
  </w:style>
  <w:style w:type="character" w:customStyle="1" w:styleId="FootnoteTextChar">
    <w:name w:val="Footnote Text Char"/>
    <w:rPr>
      <w:rFonts w:ascii="Arial" w:eastAsia="Arial" w:hAnsi="Arial" w:cs="Arial"/>
      <w:sz w:val="18"/>
    </w:rPr>
  </w:style>
  <w:style w:type="character" w:styleId="ad">
    <w:name w:val="footnote reference"/>
    <w:unhideWhenUsed/>
    <w:rPr>
      <w:rFonts w:ascii="Arial" w:eastAsia="Arial" w:hAnsi="Arial" w:cs="Arial"/>
      <w:sz w:val="24"/>
      <w:vertAlign w:val="superscript"/>
    </w:rPr>
  </w:style>
  <w:style w:type="paragraph" w:styleId="ae">
    <w:name w:val="endnote text"/>
    <w:basedOn w:val="a"/>
    <w:semiHidden/>
    <w:unhideWhenUsed/>
    <w:pPr>
      <w:jc w:val="left"/>
    </w:pPr>
    <w:rPr>
      <w:rFonts w:ascii="Arial" w:eastAsia="Arial" w:hAnsi="Arial" w:cs="Arial"/>
      <w:sz w:val="20"/>
    </w:rPr>
  </w:style>
  <w:style w:type="character" w:customStyle="1" w:styleId="EndnoteTextChar">
    <w:name w:val="Endnote Text Char"/>
    <w:rPr>
      <w:rFonts w:ascii="Arial" w:eastAsia="Arial" w:hAnsi="Arial" w:cs="Arial"/>
      <w:sz w:val="20"/>
    </w:rPr>
  </w:style>
  <w:style w:type="character" w:styleId="af">
    <w:name w:val="endnote reference"/>
    <w:semiHidden/>
    <w:unhideWhenUsed/>
    <w:rPr>
      <w:rFonts w:ascii="Arial" w:eastAsia="Arial" w:hAnsi="Arial" w:cs="Arial"/>
      <w:sz w:val="24"/>
      <w:vertAlign w:val="superscript"/>
    </w:rPr>
  </w:style>
  <w:style w:type="paragraph" w:styleId="11">
    <w:name w:val="toc 1"/>
    <w:basedOn w:val="a"/>
    <w:unhideWhenUsed/>
    <w:pPr>
      <w:spacing w:after="57"/>
      <w:ind w:firstLine="0"/>
      <w:jc w:val="left"/>
    </w:pPr>
    <w:rPr>
      <w:rFonts w:ascii="Arial" w:eastAsia="Arial" w:hAnsi="Arial" w:cs="Arial"/>
    </w:rPr>
  </w:style>
  <w:style w:type="paragraph" w:styleId="22">
    <w:name w:val="toc 2"/>
    <w:basedOn w:val="a"/>
    <w:unhideWhenUsed/>
    <w:pPr>
      <w:spacing w:after="57"/>
      <w:ind w:left="283" w:firstLine="0"/>
      <w:jc w:val="left"/>
    </w:pPr>
    <w:rPr>
      <w:rFonts w:ascii="Arial" w:eastAsia="Arial" w:hAnsi="Arial" w:cs="Arial"/>
    </w:rPr>
  </w:style>
  <w:style w:type="paragraph" w:styleId="31">
    <w:name w:val="toc 3"/>
    <w:basedOn w:val="a"/>
    <w:unhideWhenUsed/>
    <w:pPr>
      <w:spacing w:after="57"/>
      <w:ind w:left="567" w:firstLine="0"/>
      <w:jc w:val="left"/>
    </w:pPr>
    <w:rPr>
      <w:rFonts w:ascii="Arial" w:eastAsia="Arial" w:hAnsi="Arial" w:cs="Arial"/>
    </w:rPr>
  </w:style>
  <w:style w:type="paragraph" w:styleId="41">
    <w:name w:val="toc 4"/>
    <w:basedOn w:val="a"/>
    <w:unhideWhenUsed/>
    <w:pPr>
      <w:spacing w:after="57"/>
      <w:ind w:left="850" w:firstLine="0"/>
      <w:jc w:val="left"/>
    </w:pPr>
    <w:rPr>
      <w:rFonts w:ascii="Arial" w:eastAsia="Arial" w:hAnsi="Arial" w:cs="Arial"/>
    </w:rPr>
  </w:style>
  <w:style w:type="paragraph" w:styleId="51">
    <w:name w:val="toc 5"/>
    <w:basedOn w:val="a"/>
    <w:unhideWhenUsed/>
    <w:pPr>
      <w:spacing w:after="57"/>
      <w:ind w:left="1134" w:firstLine="0"/>
      <w:jc w:val="left"/>
    </w:pPr>
    <w:rPr>
      <w:rFonts w:ascii="Arial" w:eastAsia="Arial" w:hAnsi="Arial" w:cs="Arial"/>
    </w:rPr>
  </w:style>
  <w:style w:type="paragraph" w:styleId="60">
    <w:name w:val="toc 6"/>
    <w:basedOn w:val="a"/>
    <w:unhideWhenUsed/>
    <w:pPr>
      <w:spacing w:after="57"/>
      <w:ind w:left="1417" w:firstLine="0"/>
      <w:jc w:val="left"/>
    </w:pPr>
    <w:rPr>
      <w:rFonts w:ascii="Arial" w:eastAsia="Arial" w:hAnsi="Arial" w:cs="Arial"/>
    </w:rPr>
  </w:style>
  <w:style w:type="paragraph" w:styleId="70">
    <w:name w:val="toc 7"/>
    <w:basedOn w:val="a"/>
    <w:unhideWhenUsed/>
    <w:pPr>
      <w:spacing w:after="57"/>
      <w:ind w:left="1701" w:firstLine="0"/>
      <w:jc w:val="left"/>
    </w:pPr>
    <w:rPr>
      <w:rFonts w:ascii="Arial" w:eastAsia="Arial" w:hAnsi="Arial" w:cs="Arial"/>
    </w:rPr>
  </w:style>
  <w:style w:type="paragraph" w:styleId="80">
    <w:name w:val="toc 8"/>
    <w:basedOn w:val="a"/>
    <w:unhideWhenUsed/>
    <w:pPr>
      <w:spacing w:after="57"/>
      <w:ind w:left="1984" w:firstLine="0"/>
      <w:jc w:val="left"/>
    </w:pPr>
    <w:rPr>
      <w:rFonts w:ascii="Arial" w:eastAsia="Arial" w:hAnsi="Arial" w:cs="Arial"/>
    </w:rPr>
  </w:style>
  <w:style w:type="paragraph" w:styleId="90">
    <w:name w:val="toc 9"/>
    <w:basedOn w:val="a"/>
    <w:unhideWhenUsed/>
    <w:pPr>
      <w:spacing w:after="57"/>
      <w:ind w:left="2268" w:firstLine="0"/>
      <w:jc w:val="left"/>
    </w:pPr>
    <w:rPr>
      <w:rFonts w:ascii="Arial" w:eastAsia="Arial" w:hAnsi="Arial" w:cs="Arial"/>
    </w:rPr>
  </w:style>
  <w:style w:type="paragraph" w:styleId="af0">
    <w:name w:val="TOC Heading"/>
    <w:unhideWhenUsed/>
    <w:rPr>
      <w:sz w:val="24"/>
    </w:rPr>
  </w:style>
  <w:style w:type="paragraph" w:styleId="af1">
    <w:name w:val="table of figures"/>
    <w:basedOn w:val="a"/>
    <w:unhideWhenUsed/>
    <w:pPr>
      <w:jc w:val="left"/>
    </w:pPr>
    <w:rPr>
      <w:rFonts w:ascii="Arial" w:eastAsia="Arial" w:hAnsi="Arial" w:cs="Arial"/>
    </w:rPr>
  </w:style>
  <w:style w:type="character" w:customStyle="1" w:styleId="af2">
    <w:name w:val="Гипертекстовая ссылка"/>
    <w:rPr>
      <w:rFonts w:ascii="Arial" w:eastAsia="Arial" w:hAnsi="Arial" w:cs="Arial"/>
      <w:b w:val="0"/>
      <w:color w:val="106BBE"/>
      <w:sz w:val="24"/>
    </w:rPr>
  </w:style>
  <w:style w:type="paragraph" w:customStyle="1" w:styleId="af3">
    <w:name w:val="Текст (справка)"/>
    <w:basedOn w:val="a"/>
    <w:pPr>
      <w:ind w:left="170" w:firstLine="0"/>
      <w:jc w:val="left"/>
    </w:pPr>
  </w:style>
  <w:style w:type="paragraph" w:customStyle="1" w:styleId="af4">
    <w:name w:val="Комментарий"/>
    <w:basedOn w:val="af3"/>
    <w:pPr>
      <w:spacing w:before="75"/>
      <w:jc w:val="both"/>
    </w:pPr>
    <w:rPr>
      <w:color w:val="353842"/>
    </w:rPr>
  </w:style>
  <w:style w:type="character" w:customStyle="1" w:styleId="af5">
    <w:name w:val="Заголовок приложения"/>
    <w:rPr>
      <w:rFonts w:ascii="Arial" w:eastAsia="Arial" w:hAnsi="Arial" w:cs="Arial"/>
      <w:b/>
      <w:color w:val="26282F"/>
      <w:sz w:val="24"/>
    </w:rPr>
  </w:style>
  <w:style w:type="paragraph" w:customStyle="1" w:styleId="af6">
    <w:name w:val="Информация о версии"/>
    <w:basedOn w:val="af4"/>
    <w:rPr>
      <w:i/>
    </w:rPr>
  </w:style>
  <w:style w:type="paragraph" w:customStyle="1" w:styleId="af7">
    <w:name w:val="Текст информации об изменениях"/>
    <w:basedOn w:val="a"/>
    <w:rPr>
      <w:color w:val="353842"/>
      <w:sz w:val="20"/>
    </w:rPr>
  </w:style>
  <w:style w:type="paragraph" w:customStyle="1" w:styleId="af8">
    <w:name w:val="Информация об изменениях"/>
    <w:basedOn w:val="af7"/>
    <w:pPr>
      <w:spacing w:before="180"/>
      <w:ind w:left="360" w:firstLine="0"/>
    </w:pPr>
  </w:style>
  <w:style w:type="paragraph" w:customStyle="1" w:styleId="af9">
    <w:name w:val="Нормальный (таблица)"/>
    <w:basedOn w:val="a"/>
  </w:style>
  <w:style w:type="paragraph" w:customStyle="1" w:styleId="afa">
    <w:name w:val="Подзаголовок для информации об изменениях"/>
    <w:basedOn w:val="af7"/>
    <w:rPr>
      <w:b/>
    </w:rPr>
  </w:style>
  <w:style w:type="paragraph" w:customStyle="1" w:styleId="afb">
    <w:name w:val="Прижатый влево"/>
    <w:basedOn w:val="a"/>
    <w:pPr>
      <w:ind w:firstLine="0"/>
      <w:jc w:val="left"/>
    </w:pPr>
  </w:style>
  <w:style w:type="character" w:customStyle="1" w:styleId="afc">
    <w:name w:val="Цветовое выделение для Текст"/>
    <w:rPr>
      <w:rFonts w:ascii="TimesNewRomanCYR" w:eastAsia="TimesNewRomanCYR" w:hAnsi="TimesNewRomanCYR" w:cs="TimesNewRomanCYR"/>
      <w:sz w:val="24"/>
    </w:rPr>
  </w:style>
  <w:style w:type="paragraph" w:styleId="afd">
    <w:name w:val="header"/>
    <w:basedOn w:val="a"/>
    <w:link w:val="afe"/>
    <w:uiPriority w:val="99"/>
    <w:pPr>
      <w:jc w:val="center"/>
    </w:pPr>
    <w:rPr>
      <w:rFonts w:ascii="TimesNewRoman" w:eastAsia="TimesNewRoman" w:hAnsi="TimesNewRoman" w:cs="TimesNewRoman"/>
      <w:sz w:val="20"/>
    </w:rPr>
  </w:style>
  <w:style w:type="paragraph" w:styleId="aff">
    <w:name w:val="footer"/>
    <w:basedOn w:val="a"/>
    <w:pPr>
      <w:jc w:val="left"/>
    </w:pPr>
    <w:rPr>
      <w:rFonts w:ascii="TimesNewRoman" w:eastAsia="TimesNewRoman" w:hAnsi="TimesNewRoman" w:cs="TimesNewRoman"/>
      <w:sz w:val="20"/>
    </w:rPr>
  </w:style>
  <w:style w:type="character" w:customStyle="1" w:styleId="afe">
    <w:name w:val="Верхний колонтитул Знак"/>
    <w:link w:val="afd"/>
    <w:uiPriority w:val="99"/>
    <w:rsid w:val="001E500D"/>
    <w:rPr>
      <w:rFonts w:ascii="TimesNewRoman" w:eastAsia="TimesNewRoman" w:hAnsi="TimesNewRoman" w:cs="TimesNew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641</Words>
  <Characters>3657</Characters>
  <Application>Microsoft Office Word</Application>
  <DocSecurity>0</DocSecurity>
  <Lines>30</Lines>
  <Paragraphs>8</Paragraphs>
  <ScaleCrop>false</ScaleCrop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Голованов Владимир Петрович</cp:lastModifiedBy>
  <cp:revision>9</cp:revision>
  <dcterms:created xsi:type="dcterms:W3CDTF">2025-10-31T07:33:00Z</dcterms:created>
  <dcterms:modified xsi:type="dcterms:W3CDTF">2025-10-31T07:34:00Z</dcterms:modified>
</cp:coreProperties>
</file>